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12061" w14:textId="550D52FF" w:rsidR="00AA118B" w:rsidRDefault="00C74EF0">
      <w:pPr>
        <w:spacing w:after="158" w:line="259" w:lineRule="auto"/>
        <w:ind w:left="24" w:firstLine="0"/>
        <w:jc w:val="center"/>
        <w:rPr>
          <w:b/>
        </w:rPr>
      </w:pPr>
      <w:r>
        <w:rPr>
          <w:b/>
        </w:rPr>
        <w:t>Jednotná p</w:t>
      </w:r>
      <w:r w:rsidR="00965678" w:rsidRPr="00C74EF0">
        <w:rPr>
          <w:b/>
        </w:rPr>
        <w:t>řijímací zkouška</w:t>
      </w:r>
      <w:r w:rsidR="00965678" w:rsidRPr="00C74EF0">
        <w:rPr>
          <w:b/>
        </w:rPr>
        <w:t xml:space="preserve"> 2021</w:t>
      </w:r>
      <w:r w:rsidR="00965678" w:rsidRPr="00C74EF0">
        <w:rPr>
          <w:b/>
        </w:rPr>
        <w:t xml:space="preserve"> </w:t>
      </w:r>
    </w:p>
    <w:p w14:paraId="7B35F24D" w14:textId="51855576" w:rsidR="004A7366" w:rsidRDefault="004A7366">
      <w:pPr>
        <w:spacing w:after="158" w:line="259" w:lineRule="auto"/>
        <w:ind w:left="24" w:firstLine="0"/>
        <w:jc w:val="center"/>
        <w:rPr>
          <w:b/>
        </w:rPr>
      </w:pPr>
      <w:r>
        <w:rPr>
          <w:b/>
        </w:rPr>
        <w:t>(maturitní obory)</w:t>
      </w:r>
    </w:p>
    <w:p w14:paraId="07089311" w14:textId="3B7BA361" w:rsidR="00AA118B" w:rsidRDefault="00965678">
      <w:pPr>
        <w:numPr>
          <w:ilvl w:val="0"/>
          <w:numId w:val="1"/>
        </w:numPr>
        <w:spacing w:after="22"/>
        <w:ind w:hanging="360"/>
      </w:pPr>
      <w:r>
        <w:t>jednotná přijímací zkouška</w:t>
      </w:r>
      <w:r w:rsidR="0057295B">
        <w:t xml:space="preserve"> (testy Cermat z M a ČJ) v tomto školním roku</w:t>
      </w:r>
      <w:r>
        <w:t xml:space="preserve"> </w:t>
      </w:r>
      <w:r>
        <w:rPr>
          <w:b/>
        </w:rPr>
        <w:t>není povinnou součástí</w:t>
      </w:r>
      <w:r>
        <w:t xml:space="preserve"> </w:t>
      </w:r>
      <w:r>
        <w:t>přijímacího řízení</w:t>
      </w:r>
      <w:r>
        <w:t xml:space="preserve"> </w:t>
      </w:r>
      <w:r>
        <w:t>na SŠ</w:t>
      </w:r>
      <w:r>
        <w:t xml:space="preserve"> </w:t>
      </w:r>
    </w:p>
    <w:p w14:paraId="6EFE9DBC" w14:textId="77777777" w:rsidR="00AA118B" w:rsidRDefault="00965678">
      <w:pPr>
        <w:numPr>
          <w:ilvl w:val="0"/>
          <w:numId w:val="1"/>
        </w:numPr>
        <w:spacing w:after="20"/>
        <w:ind w:hanging="360"/>
      </w:pPr>
      <w:r>
        <w:t xml:space="preserve">o </w:t>
      </w:r>
      <w:r>
        <w:t>nekonání jednotné přijímací zkoušky může rozhodnout ředitel SŠ</w:t>
      </w:r>
      <w:r>
        <w:t xml:space="preserve"> </w:t>
      </w:r>
    </w:p>
    <w:p w14:paraId="38F615BB" w14:textId="77777777" w:rsidR="00AA118B" w:rsidRDefault="00965678">
      <w:pPr>
        <w:numPr>
          <w:ilvl w:val="0"/>
          <w:numId w:val="1"/>
        </w:numPr>
        <w:spacing w:after="55"/>
        <w:ind w:hanging="360"/>
      </w:pPr>
      <w:r>
        <w:t xml:space="preserve">pokud se </w:t>
      </w:r>
      <w:r>
        <w:t>zkouška nekoná</w:t>
      </w:r>
      <w:r>
        <w:t xml:space="preserve">, </w:t>
      </w:r>
      <w:r>
        <w:t xml:space="preserve">musí být </w:t>
      </w:r>
      <w:r>
        <w:t xml:space="preserve">tato informace </w:t>
      </w:r>
      <w:r>
        <w:rPr>
          <w:b/>
        </w:rPr>
        <w:t>součástí jednotných kritérií</w:t>
      </w:r>
      <w:r>
        <w:t xml:space="preserve"> </w:t>
      </w:r>
      <w:r>
        <w:t>pro první kolo přijímacího řízení</w:t>
      </w:r>
      <w:r>
        <w:t xml:space="preserve"> </w:t>
      </w:r>
    </w:p>
    <w:p w14:paraId="53AC7814" w14:textId="77777777" w:rsidR="00AA118B" w:rsidRDefault="00965678">
      <w:pPr>
        <w:numPr>
          <w:ilvl w:val="0"/>
          <w:numId w:val="1"/>
        </w:numPr>
        <w:spacing w:after="22"/>
        <w:ind w:hanging="360"/>
      </w:pPr>
      <w:r>
        <w:t>jednotná kritéria ředitel SŠ</w:t>
      </w:r>
      <w:r>
        <w:t xml:space="preserve"> </w:t>
      </w:r>
      <w:r>
        <w:t xml:space="preserve">zveřejní nejpozději </w:t>
      </w:r>
      <w:r>
        <w:rPr>
          <w:b/>
        </w:rPr>
        <w:t>do 31. ledna 2021</w:t>
      </w:r>
      <w:r>
        <w:t xml:space="preserve"> </w:t>
      </w:r>
    </w:p>
    <w:p w14:paraId="1A878C9B" w14:textId="28D1FC2A" w:rsidR="00AA118B" w:rsidRDefault="00965678">
      <w:pPr>
        <w:pStyle w:val="Nadpis1"/>
        <w:spacing w:after="58"/>
        <w:ind w:left="720" w:hanging="360"/>
      </w:pPr>
      <w:r>
        <w:rPr>
          <w:rFonts w:ascii="Segoe UI Symbol" w:eastAsia="Segoe UI Symbol" w:hAnsi="Segoe UI Symbol" w:cs="Segoe UI Symbol"/>
          <w:b w:val="0"/>
        </w:rPr>
        <w:t>•</w:t>
      </w:r>
      <w:r>
        <w:rPr>
          <w:rFonts w:ascii="Arial" w:eastAsia="Arial" w:hAnsi="Arial" w:cs="Arial"/>
          <w:b w:val="0"/>
        </w:rPr>
        <w:t xml:space="preserve"> </w:t>
      </w:r>
      <w:r w:rsidR="0057295B">
        <w:rPr>
          <w:rFonts w:ascii="Arial" w:eastAsia="Arial" w:hAnsi="Arial" w:cs="Arial"/>
          <w:b w:val="0"/>
        </w:rPr>
        <w:t xml:space="preserve">  </w:t>
      </w:r>
      <w:r>
        <w:t>p</w:t>
      </w:r>
      <w:r>
        <w:t xml:space="preserve">okud se </w:t>
      </w:r>
      <w:r>
        <w:t>jednotná přijímací zkouška nekoná, škola organizuje vždy školní přijímací zkoušku</w:t>
      </w:r>
      <w:r>
        <w:rPr>
          <w:b w:val="0"/>
        </w:rPr>
        <w:t xml:space="preserve"> </w:t>
      </w:r>
      <w:r w:rsidR="0057295B" w:rsidRPr="0057295B">
        <w:rPr>
          <w:bCs/>
        </w:rPr>
        <w:t>z M a ČJ</w:t>
      </w:r>
    </w:p>
    <w:p w14:paraId="5D29DB04" w14:textId="69F44B74" w:rsidR="00AA118B" w:rsidRDefault="00965678">
      <w:pPr>
        <w:numPr>
          <w:ilvl w:val="0"/>
          <w:numId w:val="2"/>
        </w:numPr>
        <w:spacing w:after="56"/>
        <w:ind w:right="275" w:hanging="360"/>
      </w:pPr>
      <w:r>
        <w:t>ředitel školy může v</w:t>
      </w:r>
      <w:r>
        <w:t xml:space="preserve"> </w:t>
      </w:r>
      <w:r>
        <w:t xml:space="preserve">rámci prvního kola přijímacího řízení dodatečně </w:t>
      </w:r>
      <w:r>
        <w:t xml:space="preserve">rozhodnout </w:t>
      </w:r>
      <w:r>
        <w:rPr>
          <w:b/>
        </w:rPr>
        <w:t>do 8. března 2021</w:t>
      </w:r>
      <w:r>
        <w:t xml:space="preserve"> </w:t>
      </w:r>
      <w:r>
        <w:t xml:space="preserve">o nekonání těchto zkoušek za </w:t>
      </w:r>
      <w:r w:rsidR="00C74EF0">
        <w:t>předpokladu, že</w:t>
      </w:r>
      <w:r>
        <w:t xml:space="preserve"> </w:t>
      </w:r>
      <w:r>
        <w:t xml:space="preserve">je </w:t>
      </w:r>
      <w:r>
        <w:rPr>
          <w:b/>
        </w:rPr>
        <w:t xml:space="preserve">počet přijatých přihlášek </w:t>
      </w:r>
      <w:r>
        <w:rPr>
          <w:b/>
        </w:rPr>
        <w:t>roven nebo nižší</w:t>
      </w:r>
      <w:r>
        <w:t xml:space="preserve"> </w:t>
      </w:r>
      <w:r>
        <w:t>vyhlášenému počtu přijímaných uchazečů a že si tuto možnost</w:t>
      </w:r>
      <w:r>
        <w:t xml:space="preserve"> </w:t>
      </w:r>
      <w:r>
        <w:rPr>
          <w:b/>
        </w:rPr>
        <w:t xml:space="preserve">výslovně vyhradil v jednotných kritériích </w:t>
      </w:r>
    </w:p>
    <w:p w14:paraId="29C417F3" w14:textId="1386F614" w:rsidR="00AA118B" w:rsidRDefault="00965678">
      <w:pPr>
        <w:numPr>
          <w:ilvl w:val="0"/>
          <w:numId w:val="2"/>
        </w:numPr>
        <w:spacing w:after="0"/>
        <w:ind w:right="275" w:hanging="360"/>
      </w:pPr>
      <w:r>
        <w:t>p</w:t>
      </w:r>
      <w:r>
        <w:t>okud za těchto podmínek ředitel školy rozhodne o nekonání stanovených přijímacích zkoušek, zveřejní tuto informaci nejpozději do 8. bře</w:t>
      </w:r>
      <w:r>
        <w:t xml:space="preserve">zna </w:t>
      </w:r>
      <w:r w:rsidR="0057295B">
        <w:t>2021 na</w:t>
      </w:r>
      <w:r>
        <w:t xml:space="preserve"> internetových stránkách školy a bezodkladně (</w:t>
      </w:r>
      <w:r>
        <w:rPr>
          <w:b/>
        </w:rPr>
        <w:t xml:space="preserve">nejpozději do 19. března </w:t>
      </w:r>
    </w:p>
    <w:p w14:paraId="62D7838A" w14:textId="77777777" w:rsidR="00AA118B" w:rsidRDefault="00965678">
      <w:pPr>
        <w:ind w:left="730"/>
      </w:pPr>
      <w:r>
        <w:rPr>
          <w:b/>
        </w:rPr>
        <w:t>2021) tuto informaci sdělí také uchazečům</w:t>
      </w:r>
      <w:r>
        <w:t>, popř. jejich zákonným zástupcům</w:t>
      </w:r>
      <w:r>
        <w:t xml:space="preserve"> </w:t>
      </w:r>
    </w:p>
    <w:p w14:paraId="00DE432B" w14:textId="77777777" w:rsidR="00AA118B" w:rsidRDefault="00965678">
      <w:pPr>
        <w:pStyle w:val="Nadpis1"/>
        <w:ind w:left="-5"/>
      </w:pPr>
      <w:r>
        <w:t>Konání jednotné přijímací zkoušky</w:t>
      </w:r>
      <w:r>
        <w:t xml:space="preserve"> </w:t>
      </w:r>
    </w:p>
    <w:p w14:paraId="69C369AA" w14:textId="19E6A838" w:rsidR="00AA118B" w:rsidRDefault="00965678">
      <w:pPr>
        <w:ind w:left="-5"/>
      </w:pPr>
      <w:r>
        <w:t xml:space="preserve">V případě, že uchazeč podá </w:t>
      </w:r>
      <w:r>
        <w:rPr>
          <w:b/>
        </w:rPr>
        <w:t>dvě přihlášky</w:t>
      </w:r>
      <w:r>
        <w:t xml:space="preserve"> </w:t>
      </w:r>
      <w:r>
        <w:t xml:space="preserve">do dvou různých oborů vzdělání, ve kterých se jednotná přijímací zkouška na základě rozhodnutí ředitele školy koná, bude zkoušku konat </w:t>
      </w:r>
      <w:r>
        <w:rPr>
          <w:b/>
        </w:rPr>
        <w:t>ve dvou termínech</w:t>
      </w:r>
      <w:r>
        <w:t xml:space="preserve">, a to v 1. termínu na škole uvedené na </w:t>
      </w:r>
      <w:r w:rsidR="0057295B">
        <w:t xml:space="preserve">přihlášce </w:t>
      </w:r>
      <w:r w:rsidR="004A7366">
        <w:t xml:space="preserve">     </w:t>
      </w:r>
      <w:r w:rsidR="0057295B">
        <w:t>v</w:t>
      </w:r>
      <w:r>
        <w:t xml:space="preserve"> prvním pořadí a ve 2. termínu na škole uvedené jako</w:t>
      </w:r>
      <w:r>
        <w:t xml:space="preserve"> druhé v pořadí.</w:t>
      </w:r>
      <w:r>
        <w:t xml:space="preserve"> </w:t>
      </w:r>
    </w:p>
    <w:p w14:paraId="08B97C93" w14:textId="36B35046" w:rsidR="00AA118B" w:rsidRDefault="00965678">
      <w:pPr>
        <w:ind w:left="-5"/>
      </w:pPr>
      <w:r>
        <w:t>Rozhodnutím MŠMT</w:t>
      </w:r>
      <w:r>
        <w:t xml:space="preserve"> </w:t>
      </w:r>
      <w:r>
        <w:t>však bude ve školním roce 2020/2021 umožněno</w:t>
      </w:r>
      <w:r>
        <w:t xml:space="preserve"> konat </w:t>
      </w:r>
      <w:r>
        <w:t xml:space="preserve">jednotnou přijímací zkoušku </w:t>
      </w:r>
      <w:r>
        <w:rPr>
          <w:b/>
        </w:rPr>
        <w:t xml:space="preserve">ve dvou termínech také všem uchazečům, kteří podají pouze jednu přihlášku do oboru vzdělání, ve kterém se jednotná přijímací zkouška </w:t>
      </w:r>
      <w:r w:rsidR="003F04B1">
        <w:rPr>
          <w:b/>
        </w:rPr>
        <w:t xml:space="preserve">koná. </w:t>
      </w:r>
    </w:p>
    <w:p w14:paraId="4EECBBDD" w14:textId="20D3357E" w:rsidR="00AA118B" w:rsidRPr="003F04B1" w:rsidRDefault="00965678">
      <w:pPr>
        <w:ind w:left="-5"/>
        <w:rPr>
          <w:rFonts w:asciiTheme="minorHAnsi" w:hAnsiTheme="minorHAnsi" w:cstheme="minorHAnsi"/>
          <w:szCs w:val="28"/>
        </w:rPr>
      </w:pPr>
      <w:r>
        <w:t>Podá</w:t>
      </w:r>
      <w:r>
        <w:t>-</w:t>
      </w:r>
      <w:r>
        <w:t xml:space="preserve">li uchazeč </w:t>
      </w:r>
      <w:r>
        <w:t xml:space="preserve">jednu </w:t>
      </w:r>
      <w:r>
        <w:t>přihlášku do oboru vzdělání, ve kterém se jednotná přijímací zkouška nekoná</w:t>
      </w:r>
      <w:r>
        <w:t xml:space="preserve">, a zároveň podá </w:t>
      </w:r>
      <w:r>
        <w:t xml:space="preserve">druhou </w:t>
      </w:r>
      <w:r>
        <w:t>přihlášku do</w:t>
      </w:r>
      <w:r>
        <w:t xml:space="preserve"> oboru vzdělání, ve kterém se jednotná přijímací zkouška koná, nebo podá pouze jednu přihlášku do oboru vzdělání, ve kterém</w:t>
      </w:r>
      <w:r>
        <w:t xml:space="preserve"> </w:t>
      </w:r>
      <w:r>
        <w:t xml:space="preserve">se jednotná přijímací zkouška koná, bude uchazeč konat jednotnou přijímací zkoušku </w:t>
      </w:r>
      <w:r>
        <w:rPr>
          <w:b/>
        </w:rPr>
        <w:t>ve dvou termínech</w:t>
      </w:r>
      <w:r>
        <w:t>, a to na škole, ve které se jed</w:t>
      </w:r>
      <w:r>
        <w:t xml:space="preserve">notná přijímací </w:t>
      </w:r>
      <w:r>
        <w:lastRenderedPageBreak/>
        <w:t>zkouška v rámci přijímacího řízení koná</w:t>
      </w:r>
      <w:r w:rsidR="003F04B1">
        <w:t xml:space="preserve"> </w:t>
      </w:r>
      <w:r w:rsidR="003F04B1" w:rsidRPr="003F04B1">
        <w:rPr>
          <w:rFonts w:asciiTheme="minorHAnsi" w:hAnsiTheme="minorHAnsi" w:cstheme="minorHAnsi"/>
          <w:szCs w:val="28"/>
        </w:rPr>
        <w:t>(</w:t>
      </w:r>
      <w:r w:rsidR="003F04B1" w:rsidRPr="003F04B1">
        <w:rPr>
          <w:rFonts w:asciiTheme="minorHAnsi" w:hAnsiTheme="minorHAnsi" w:cstheme="minorHAnsi"/>
          <w:color w:val="111111"/>
          <w:szCs w:val="28"/>
          <w:shd w:val="clear" w:color="auto" w:fill="FAFAFA"/>
        </w:rPr>
        <w:t>tj. uchazeč koná zkoušku dvakrát na stejné škole). Uchazeč od této školy obdrží pozvánku ke zkoušce na oba termíny</w:t>
      </w:r>
      <w:r w:rsidR="003F04B1">
        <w:rPr>
          <w:rFonts w:asciiTheme="minorHAnsi" w:hAnsiTheme="minorHAnsi" w:cstheme="minorHAnsi"/>
          <w:color w:val="111111"/>
          <w:szCs w:val="28"/>
          <w:shd w:val="clear" w:color="auto" w:fill="FAFAFA"/>
        </w:rPr>
        <w:t>.</w:t>
      </w:r>
    </w:p>
    <w:p w14:paraId="6AEFEA6B" w14:textId="77777777" w:rsidR="00AA118B" w:rsidRDefault="00965678">
      <w:pPr>
        <w:spacing w:after="0" w:line="259" w:lineRule="auto"/>
        <w:ind w:left="0" w:firstLine="0"/>
      </w:pPr>
      <w:r>
        <w:t xml:space="preserve"> </w:t>
      </w:r>
    </w:p>
    <w:p w14:paraId="1101029C" w14:textId="77777777" w:rsidR="00AA118B" w:rsidRDefault="00965678">
      <w:pPr>
        <w:pStyle w:val="Nadpis1"/>
        <w:ind w:left="-5"/>
      </w:pPr>
      <w:r>
        <w:t>Kritéria hodnocení</w:t>
      </w:r>
      <w:r>
        <w:t xml:space="preserve">  </w:t>
      </w:r>
    </w:p>
    <w:p w14:paraId="6ECDD856" w14:textId="227295C8" w:rsidR="00AA118B" w:rsidRDefault="00965678">
      <w:pPr>
        <w:ind w:left="-5" w:right="643"/>
      </w:pPr>
      <w:r>
        <w:t>S</w:t>
      </w:r>
      <w:r>
        <w:t xml:space="preserve">třední školy nemohou v přijímacím řízení hodnotit hodnocení na </w:t>
      </w:r>
      <w:r w:rsidR="003F04B1">
        <w:t>vysvědčení za</w:t>
      </w:r>
      <w:r>
        <w:t xml:space="preserve"> druhé pololetí školního roku 2019/2020. Školy naopak mohou </w:t>
      </w:r>
      <w:r>
        <w:rPr>
          <w:b/>
        </w:rPr>
        <w:t>rozšířit okruh dalších vysvědčení</w:t>
      </w:r>
      <w:r>
        <w:t>, která budou v rámci přijímacího řízení zohledněna</w:t>
      </w:r>
      <w:r>
        <w:t xml:space="preserve">. </w:t>
      </w:r>
    </w:p>
    <w:p w14:paraId="69F147E3" w14:textId="77777777" w:rsidR="00AA118B" w:rsidRDefault="00965678">
      <w:pPr>
        <w:ind w:left="-5"/>
      </w:pPr>
      <w:r>
        <w:t>V předchozích letech se výsledek jednotné přijímací zkoušky na celkovém hodnocení uchazečů podílel minimáln</w:t>
      </w:r>
      <w:r>
        <w:t>ě</w:t>
      </w:r>
      <w:r>
        <w:t xml:space="preserve"> </w:t>
      </w:r>
      <w:r>
        <w:t xml:space="preserve">60 %. V přijímacím řízení pro školní rok 2021/2022 </w:t>
      </w:r>
      <w:r>
        <w:rPr>
          <w:b/>
        </w:rPr>
        <w:t>může</w:t>
      </w:r>
      <w:r>
        <w:t xml:space="preserve"> </w:t>
      </w:r>
      <w:r>
        <w:t xml:space="preserve">ředitel školy stanovit, že </w:t>
      </w:r>
      <w:r>
        <w:rPr>
          <w:b/>
        </w:rPr>
        <w:t>výsledek zkoušky bude zohledňován v jiném poměru.</w:t>
      </w:r>
      <w:r>
        <w:t xml:space="preserve"> </w:t>
      </w:r>
      <w:r>
        <w:t>Informace o tomto poměru musí být součástí jednotných kritérií přijímaní pro první kolo přijímacího řízení.</w:t>
      </w:r>
      <w:r>
        <w:t xml:space="preserve"> </w:t>
      </w:r>
    </w:p>
    <w:p w14:paraId="3B224DA9" w14:textId="77777777" w:rsidR="00AA118B" w:rsidRDefault="00965678">
      <w:pPr>
        <w:pStyle w:val="Nadpis1"/>
        <w:spacing w:after="1"/>
        <w:ind w:left="-5"/>
      </w:pPr>
      <w:r>
        <w:t>Termíny</w:t>
      </w:r>
      <w:r>
        <w:t xml:space="preserve"> konání</w:t>
      </w:r>
      <w:r>
        <w:t xml:space="preserve"> </w:t>
      </w:r>
      <w:r>
        <w:t>jednotné zkoušky</w:t>
      </w:r>
      <w:r>
        <w:t xml:space="preserve"> </w:t>
      </w:r>
    </w:p>
    <w:p w14:paraId="2E0A23B0" w14:textId="77777777" w:rsidR="00AA118B" w:rsidRDefault="00965678">
      <w:pPr>
        <w:spacing w:after="23" w:line="259" w:lineRule="auto"/>
        <w:ind w:left="1" w:firstLine="0"/>
      </w:pPr>
      <w:r>
        <w:rPr>
          <w:noProof/>
        </w:rPr>
        <w:drawing>
          <wp:inline distT="0" distB="0" distL="0" distR="0" wp14:anchorId="0DB16332" wp14:editId="69371DD9">
            <wp:extent cx="4550410" cy="2360930"/>
            <wp:effectExtent l="0" t="0" r="0" b="0"/>
            <wp:docPr id="185" name="Picture 1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50410" cy="236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7E1DD" w14:textId="77777777" w:rsidR="00AA118B" w:rsidRDefault="00965678">
      <w:pPr>
        <w:spacing w:after="160" w:line="259" w:lineRule="auto"/>
        <w:ind w:left="0" w:firstLine="0"/>
      </w:pPr>
      <w:r>
        <w:rPr>
          <w:b/>
        </w:rPr>
        <w:t xml:space="preserve"> </w:t>
      </w:r>
    </w:p>
    <w:p w14:paraId="0770CDB4" w14:textId="77777777" w:rsidR="00AA118B" w:rsidRDefault="00965678">
      <w:pPr>
        <w:pStyle w:val="Nadpis1"/>
        <w:ind w:left="-5"/>
      </w:pPr>
      <w:r>
        <w:t>Školní přijímací zkouška</w:t>
      </w:r>
      <w:r>
        <w:t xml:space="preserve"> </w:t>
      </w:r>
    </w:p>
    <w:p w14:paraId="0D9033E2" w14:textId="77777777" w:rsidR="00AA118B" w:rsidRDefault="00965678">
      <w:pPr>
        <w:spacing w:after="0"/>
        <w:ind w:left="-5"/>
      </w:pPr>
      <w:r>
        <w:t xml:space="preserve">Pokud je součástí přijímacího řízení zároveň jednotná přijímací zkouška a školní přijímací zkouška, ředitel školy stanoví termín školní přijímací zkoušky na stejný den, kdy se koná jednotná přijímací </w:t>
      </w:r>
      <w:r>
        <w:t xml:space="preserve">zkouška. </w:t>
      </w:r>
      <w:r>
        <w:t xml:space="preserve"> </w:t>
      </w:r>
    </w:p>
    <w:p w14:paraId="70230F22" w14:textId="77777777" w:rsidR="00AA118B" w:rsidRDefault="00965678">
      <w:pPr>
        <w:ind w:left="-5"/>
      </w:pPr>
      <w:r>
        <w:t>V případě, že školní přijímací zkouška bude konat distančním způsobem, může stanovit odlišný termín konání.</w:t>
      </w:r>
      <w:r>
        <w:t xml:space="preserve"> </w:t>
      </w:r>
    </w:p>
    <w:p w14:paraId="0C0887BC" w14:textId="3E611419" w:rsidR="00AA118B" w:rsidRDefault="00965678">
      <w:pPr>
        <w:spacing w:after="161" w:line="258" w:lineRule="auto"/>
        <w:ind w:left="-5" w:right="688"/>
      </w:pPr>
      <w:r>
        <w:rPr>
          <w:b/>
        </w:rPr>
        <w:t xml:space="preserve">V případě, že se jednotná přijímací zkouška z rozhodnutí ředitele </w:t>
      </w:r>
      <w:r w:rsidR="003F04B1">
        <w:rPr>
          <w:b/>
        </w:rPr>
        <w:t>školy v</w:t>
      </w:r>
      <w:r>
        <w:rPr>
          <w:b/>
        </w:rPr>
        <w:t xml:space="preserve"> daném oboru nekoná, škola organizuje vždy školní přijímací zkoušku.  </w:t>
      </w:r>
      <w:r>
        <w:t xml:space="preserve">V tomto případě se školní přijímací zkouška nesmí </w:t>
      </w:r>
      <w:r>
        <w:t xml:space="preserve">konat </w:t>
      </w:r>
      <w:r>
        <w:t>v termínech, které jsou stanoveny pro jednotnou přijímací zkoušku.</w:t>
      </w:r>
      <w:r>
        <w:t xml:space="preserve"> </w:t>
      </w:r>
    </w:p>
    <w:p w14:paraId="3E4BFEDB" w14:textId="77777777" w:rsidR="00AA118B" w:rsidRDefault="00965678">
      <w:pPr>
        <w:pStyle w:val="Nadpis1"/>
        <w:ind w:left="-5"/>
      </w:pPr>
      <w:r>
        <w:lastRenderedPageBreak/>
        <w:t>Obsah a podoba testů</w:t>
      </w:r>
      <w:r>
        <w:t xml:space="preserve"> </w:t>
      </w:r>
    </w:p>
    <w:p w14:paraId="047CDCF2" w14:textId="77777777" w:rsidR="00AA118B" w:rsidRDefault="00965678">
      <w:pPr>
        <w:ind w:left="-5"/>
      </w:pPr>
      <w:r>
        <w:t>Jednotná přijímací zkouška se skládá ze</w:t>
      </w:r>
      <w:r>
        <w:t xml:space="preserve"> dvou</w:t>
      </w:r>
      <w:r>
        <w:t xml:space="preserve"> </w:t>
      </w:r>
      <w:r>
        <w:t>písemných testů: z</w:t>
      </w:r>
      <w:r>
        <w:t xml:space="preserve"> </w:t>
      </w:r>
      <w:r>
        <w:t xml:space="preserve">českého jazyka a </w:t>
      </w:r>
      <w:r>
        <w:t xml:space="preserve">literatury a matematiky. </w:t>
      </w:r>
      <w:r>
        <w:t xml:space="preserve">K jejich úspěšnému absolvování by mělo stačit dobré zvládnutí učiva základní školy. </w:t>
      </w:r>
      <w:r>
        <w:t xml:space="preserve"> </w:t>
      </w:r>
    </w:p>
    <w:p w14:paraId="4534EB08" w14:textId="77777777" w:rsidR="00AA118B" w:rsidRDefault="00965678">
      <w:pPr>
        <w:spacing w:after="0"/>
        <w:ind w:left="-5"/>
      </w:pPr>
      <w:r>
        <w:t>Maximální možný počet dosažených bodů v</w:t>
      </w:r>
      <w:r>
        <w:t xml:space="preserve"> </w:t>
      </w:r>
      <w:r>
        <w:t xml:space="preserve">písemných testech </w:t>
      </w:r>
      <w:r>
        <w:t xml:space="preserve"> </w:t>
      </w:r>
    </w:p>
    <w:p w14:paraId="1A2977D0" w14:textId="77777777" w:rsidR="00AA118B" w:rsidRDefault="00965678">
      <w:pPr>
        <w:ind w:left="-5"/>
      </w:pPr>
      <w:r>
        <w:t xml:space="preserve">z matematiky i českého jazyka a literatury </w:t>
      </w:r>
      <w:r>
        <w:t>je 50 bodů. Minimální hranice úspěšnosti není centrálně stanovena, školy si kritéria pro přijetí stanovují samy v rámci kritérií pro přijetí.</w:t>
      </w:r>
      <w:r>
        <w:t xml:space="preserve"> </w:t>
      </w:r>
    </w:p>
    <w:p w14:paraId="43E61B3D" w14:textId="4D19A8A1" w:rsidR="00AA118B" w:rsidRDefault="00965678">
      <w:pPr>
        <w:ind w:left="-5" w:right="375"/>
      </w:pPr>
      <w:r>
        <w:t xml:space="preserve">U zkoušky je zakázané používat slovníky, Pravidla českého pravopisu, </w:t>
      </w:r>
      <w:r w:rsidR="004A7366">
        <w:t>kalkulačku či</w:t>
      </w:r>
      <w:r>
        <w:t xml:space="preserve"> matematicko</w:t>
      </w:r>
      <w:r>
        <w:t>-</w:t>
      </w:r>
      <w:r>
        <w:t>fyzikální tabulky</w:t>
      </w:r>
      <w:r>
        <w:t>.</w:t>
      </w:r>
      <w:r>
        <w:t xml:space="preserve"> N</w:t>
      </w:r>
      <w:r>
        <w:t>elze používat gumovací pera</w:t>
      </w:r>
      <w:r w:rsidR="004A7366">
        <w:t xml:space="preserve">, </w:t>
      </w:r>
      <w:r>
        <w:t>fix</w:t>
      </w:r>
      <w:r>
        <w:t>y</w:t>
      </w:r>
      <w:r>
        <w:t xml:space="preserve">. </w:t>
      </w:r>
    </w:p>
    <w:p w14:paraId="6DAFC13C" w14:textId="2B9FB04E" w:rsidR="00AA118B" w:rsidRDefault="00965678">
      <w:pPr>
        <w:spacing w:after="161" w:line="258" w:lineRule="auto"/>
        <w:ind w:left="-5"/>
      </w:pPr>
      <w:r>
        <w:rPr>
          <w:b/>
        </w:rPr>
        <w:t xml:space="preserve">Do výsledku přijímacího řízení se bude zohledňovat pouze lepší výsledek z </w:t>
      </w:r>
      <w:r w:rsidR="004A7366">
        <w:rPr>
          <w:b/>
        </w:rPr>
        <w:t>prvního či</w:t>
      </w:r>
      <w:r>
        <w:rPr>
          <w:b/>
        </w:rPr>
        <w:t xml:space="preserve"> druhého termínu příslušného testu. </w:t>
      </w:r>
    </w:p>
    <w:p w14:paraId="0A94FEFB" w14:textId="77777777" w:rsidR="00AA118B" w:rsidRDefault="00965678">
      <w:pPr>
        <w:ind w:left="-5"/>
      </w:pPr>
      <w:r>
        <w:t>Uchazeči se</w:t>
      </w:r>
      <w:r>
        <w:t xml:space="preserve"> </w:t>
      </w:r>
      <w:r>
        <w:t xml:space="preserve">speciálními vzdělávacími potřebami, kteří odevzdali společně s přihláškou doporučení školského poradenského zařízení, budou mít časový limit pro konání testů prodloužen v souladu s informacemi uvedenými v doporučení. </w:t>
      </w:r>
      <w:r>
        <w:t xml:space="preserve"> </w:t>
      </w:r>
    </w:p>
    <w:p w14:paraId="1106911E" w14:textId="1FD95F19" w:rsidR="00AA118B" w:rsidRDefault="00965678">
      <w:pPr>
        <w:spacing w:after="402" w:line="259" w:lineRule="auto"/>
        <w:ind w:lef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280FFE1" wp14:editId="3F5A7AAC">
            <wp:simplePos x="0" y="0"/>
            <wp:positionH relativeFrom="column">
              <wp:posOffset>762</wp:posOffset>
            </wp:positionH>
            <wp:positionV relativeFrom="paragraph">
              <wp:posOffset>304038</wp:posOffset>
            </wp:positionV>
            <wp:extent cx="5287899" cy="2096770"/>
            <wp:effectExtent l="0" t="0" r="0" b="0"/>
            <wp:wrapSquare wrapText="bothSides"/>
            <wp:docPr id="279" name="Picture 2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Picture 27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7899" cy="2096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14:paraId="43F9ECA3" w14:textId="7F2093F7" w:rsidR="00AA118B" w:rsidRDefault="00965678">
      <w:pPr>
        <w:spacing w:after="158" w:line="259" w:lineRule="auto"/>
        <w:ind w:left="0" w:firstLine="0"/>
      </w:pPr>
      <w:r>
        <w:t xml:space="preserve"> </w:t>
      </w:r>
    </w:p>
    <w:p w14:paraId="65F800A7" w14:textId="77777777" w:rsidR="00AA118B" w:rsidRDefault="00965678">
      <w:pPr>
        <w:spacing w:after="158" w:line="259" w:lineRule="auto"/>
        <w:ind w:left="0" w:firstLine="0"/>
      </w:pPr>
      <w:r>
        <w:t xml:space="preserve"> </w:t>
      </w:r>
    </w:p>
    <w:p w14:paraId="3921046B" w14:textId="77777777" w:rsidR="003F04B1" w:rsidRDefault="003F04B1">
      <w:pPr>
        <w:ind w:left="-5" w:right="449"/>
      </w:pPr>
    </w:p>
    <w:p w14:paraId="74ADBA50" w14:textId="77777777" w:rsidR="003F04B1" w:rsidRDefault="003F04B1">
      <w:pPr>
        <w:ind w:left="-5" w:right="449"/>
      </w:pPr>
    </w:p>
    <w:p w14:paraId="4BFF2635" w14:textId="2D1ABB05" w:rsidR="003F04B1" w:rsidRDefault="003F04B1">
      <w:pPr>
        <w:ind w:left="-5" w:right="449"/>
      </w:pPr>
    </w:p>
    <w:p w14:paraId="75857EC3" w14:textId="40D02CA2" w:rsidR="003F04B1" w:rsidRDefault="003F04B1">
      <w:pPr>
        <w:ind w:left="-5" w:right="449"/>
      </w:pPr>
    </w:p>
    <w:p w14:paraId="0D4D16D9" w14:textId="71901394" w:rsidR="004A7366" w:rsidRPr="004A7366" w:rsidRDefault="004A7366">
      <w:pPr>
        <w:ind w:left="-5" w:right="449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color w:val="111111"/>
          <w:szCs w:val="28"/>
          <w:shd w:val="clear" w:color="auto" w:fill="FAFAFA"/>
        </w:rPr>
        <w:t>K procvičování</w:t>
      </w:r>
      <w:r w:rsidRPr="004A7366">
        <w:rPr>
          <w:rFonts w:asciiTheme="minorHAnsi" w:hAnsiTheme="minorHAnsi" w:cstheme="minorHAnsi"/>
          <w:color w:val="111111"/>
          <w:szCs w:val="28"/>
          <w:shd w:val="clear" w:color="auto" w:fill="FAFAFA"/>
        </w:rPr>
        <w:t xml:space="preserve"> úloh je možné využít testy z minulých let</w:t>
      </w:r>
      <w:r>
        <w:rPr>
          <w:rFonts w:asciiTheme="minorHAnsi" w:hAnsiTheme="minorHAnsi" w:cstheme="minorHAnsi"/>
          <w:color w:val="111111"/>
          <w:szCs w:val="28"/>
          <w:shd w:val="clear" w:color="auto" w:fill="FAFAFA"/>
        </w:rPr>
        <w:t xml:space="preserve"> na </w:t>
      </w:r>
      <w:r w:rsidRPr="004A7366">
        <w:rPr>
          <w:rFonts w:asciiTheme="minorHAnsi" w:hAnsiTheme="minorHAnsi" w:cstheme="minorHAnsi"/>
          <w:color w:val="111111"/>
          <w:szCs w:val="28"/>
          <w:shd w:val="clear" w:color="auto" w:fill="FAFAFA"/>
        </w:rPr>
        <w:t>https://prijimacky.cermat.cz/menu/testova-zadani-k-procvicovani</w:t>
      </w:r>
      <w:r>
        <w:rPr>
          <w:rFonts w:asciiTheme="minorHAnsi" w:hAnsiTheme="minorHAnsi" w:cstheme="minorHAnsi"/>
          <w:color w:val="111111"/>
          <w:szCs w:val="28"/>
          <w:shd w:val="clear" w:color="auto" w:fill="FAFAFA"/>
        </w:rPr>
        <w:t>.</w:t>
      </w:r>
    </w:p>
    <w:p w14:paraId="6D56918D" w14:textId="77777777" w:rsidR="003F04B1" w:rsidRPr="004A7366" w:rsidRDefault="003F04B1">
      <w:pPr>
        <w:ind w:left="-5" w:right="449"/>
        <w:rPr>
          <w:szCs w:val="28"/>
        </w:rPr>
      </w:pPr>
    </w:p>
    <w:p w14:paraId="4D152B01" w14:textId="1669A11D" w:rsidR="0057295B" w:rsidRDefault="0057295B">
      <w:pPr>
        <w:ind w:left="-5" w:right="449"/>
      </w:pPr>
      <w:r>
        <w:t xml:space="preserve">Zdroj: </w:t>
      </w:r>
      <w:r w:rsidRPr="0057295B">
        <w:t>https://prijimacky.cermat.cz/menu/jednotna-prijimaci-zkouska</w:t>
      </w:r>
    </w:p>
    <w:sectPr w:rsidR="0057295B">
      <w:pgSz w:w="11906" w:h="16838"/>
      <w:pgMar w:top="1191" w:right="1019" w:bottom="1526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C09FB"/>
    <w:multiLevelType w:val="hybridMultilevel"/>
    <w:tmpl w:val="0F047C02"/>
    <w:lvl w:ilvl="0" w:tplc="E18070E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F07E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8E277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0C77B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F4200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A2616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1A3B9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52B2B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EC5F3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B131BD"/>
    <w:multiLevelType w:val="hybridMultilevel"/>
    <w:tmpl w:val="C3066198"/>
    <w:lvl w:ilvl="0" w:tplc="6F9E9ED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66224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1CD4A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AACE4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C011A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805EB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F00B3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880FB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BEDB2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18B"/>
    <w:rsid w:val="003F04B1"/>
    <w:rsid w:val="004A7366"/>
    <w:rsid w:val="0057295B"/>
    <w:rsid w:val="00965678"/>
    <w:rsid w:val="00AA118B"/>
    <w:rsid w:val="00C7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D6A75"/>
  <w15:docId w15:val="{2A07818B-3102-4574-839D-6CEC6DA7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59" w:line="261" w:lineRule="auto"/>
      <w:ind w:left="370" w:hanging="10"/>
    </w:pPr>
    <w:rPr>
      <w:rFonts w:ascii="Calibri" w:eastAsia="Calibri" w:hAnsi="Calibri" w:cs="Calibri"/>
      <w:color w:val="000000"/>
      <w:sz w:val="2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61" w:line="258" w:lineRule="auto"/>
      <w:ind w:left="10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677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krausova</dc:creator>
  <cp:keywords/>
  <cp:lastModifiedBy>Silvia Adzimová</cp:lastModifiedBy>
  <cp:revision>4</cp:revision>
  <dcterms:created xsi:type="dcterms:W3CDTF">2021-01-20T17:33:00Z</dcterms:created>
  <dcterms:modified xsi:type="dcterms:W3CDTF">2021-01-20T17:34:00Z</dcterms:modified>
</cp:coreProperties>
</file>